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A5" w:rsidRDefault="00F85AA5" w:rsidP="002A4D94">
      <w:pPr>
        <w:widowControl w:val="0"/>
        <w:rPr>
          <w:rFonts w:ascii="Verdana" w:hAnsi="Verdana" w:cs="Times New Roman"/>
          <w:noProof/>
          <w:color w:val="003057"/>
          <w:kern w:val="0"/>
          <w14:ligatures w14:val="none"/>
          <w14:cntxtAlts w14:val="0"/>
        </w:rPr>
      </w:pPr>
    </w:p>
    <w:p w:rsidR="002A4D94" w:rsidRDefault="00231CC5" w:rsidP="006E0BDA">
      <w:pPr>
        <w:widowControl w:val="0"/>
        <w:spacing w:line="240" w:lineRule="auto"/>
        <w:rPr>
          <w:rFonts w:ascii="Verdana" w:hAnsi="Verdana"/>
          <w:color w:val="003057"/>
          <w:kern w:val="24"/>
          <w14:ligatures w14:val="none"/>
        </w:rPr>
      </w:pPr>
      <w:r>
        <w:rPr>
          <w:rFonts w:ascii="Verdana" w:hAnsi="Verdana"/>
          <w:color w:val="003057"/>
          <w14:ligatures w14:val="none"/>
        </w:rPr>
        <w:t xml:space="preserve">Greater Portland </w:t>
      </w:r>
      <w:r w:rsidR="002A4D94">
        <w:rPr>
          <w:rFonts w:ascii="Verdana" w:hAnsi="Verdana"/>
          <w:color w:val="003057"/>
          <w14:ligatures w14:val="none"/>
        </w:rPr>
        <w:t>Landmarks</w:t>
      </w:r>
      <w:r w:rsidRPr="00231CC5">
        <w:rPr>
          <w:rFonts w:ascii="Verdana" w:hAnsi="Verdana"/>
          <w:color w:val="003057"/>
          <w14:ligatures w14:val="none"/>
        </w:rPr>
        <w:t xml:space="preserve"> </w:t>
      </w:r>
      <w:r>
        <w:rPr>
          <w:rFonts w:ascii="Verdana" w:hAnsi="Verdana"/>
          <w:color w:val="003057"/>
          <w14:ligatures w14:val="none"/>
        </w:rPr>
        <w:t xml:space="preserve">is a community nonprofit, not affiliated with the City of Portland. Through our research and neighborhood </w:t>
      </w:r>
      <w:r w:rsidR="006E0BDA">
        <w:rPr>
          <w:rFonts w:ascii="Verdana" w:hAnsi="Verdana"/>
          <w:color w:val="003057"/>
          <w14:ligatures w14:val="none"/>
        </w:rPr>
        <w:t xml:space="preserve">architectural </w:t>
      </w:r>
      <w:r>
        <w:rPr>
          <w:rFonts w:ascii="Verdana" w:hAnsi="Verdana"/>
          <w:color w:val="003057"/>
          <w14:ligatures w14:val="none"/>
        </w:rPr>
        <w:t xml:space="preserve">survey, </w:t>
      </w:r>
      <w:r w:rsidR="006E0BDA">
        <w:rPr>
          <w:rFonts w:ascii="Verdana" w:hAnsi="Verdana"/>
          <w:color w:val="003057"/>
          <w14:ligatures w14:val="none"/>
        </w:rPr>
        <w:t>we are</w:t>
      </w:r>
      <w:r w:rsidR="002A4D94">
        <w:rPr>
          <w:rFonts w:ascii="Verdana" w:hAnsi="Verdana"/>
          <w:color w:val="003057"/>
          <w14:ligatures w14:val="none"/>
        </w:rPr>
        <w:t xml:space="preserve"> exploring the potential of historic preservation designation as one of several tools </w:t>
      </w:r>
      <w:r w:rsidR="00F85AA5">
        <w:rPr>
          <w:rFonts w:ascii="Verdana" w:hAnsi="Verdana"/>
          <w:color w:val="003057"/>
          <w14:ligatures w14:val="none"/>
        </w:rPr>
        <w:t>to</w:t>
      </w:r>
      <w:r w:rsidR="002A4D94">
        <w:rPr>
          <w:rFonts w:ascii="Verdana" w:hAnsi="Verdana"/>
          <w:color w:val="003057"/>
          <w14:ligatures w14:val="none"/>
        </w:rPr>
        <w:t xml:space="preserve"> address the concerns we have heard from many neighbors</w:t>
      </w:r>
      <w:r w:rsidR="00F85AA5">
        <w:rPr>
          <w:rFonts w:ascii="Verdana" w:hAnsi="Verdana"/>
          <w:color w:val="003057"/>
          <w14:ligatures w14:val="none"/>
        </w:rPr>
        <w:t xml:space="preserve"> on </w:t>
      </w:r>
      <w:proofErr w:type="spellStart"/>
      <w:r w:rsidR="00F85AA5">
        <w:rPr>
          <w:rFonts w:ascii="Verdana" w:hAnsi="Verdana"/>
          <w:color w:val="003057"/>
          <w14:ligatures w14:val="none"/>
        </w:rPr>
        <w:t>Munjoy</w:t>
      </w:r>
      <w:proofErr w:type="spellEnd"/>
      <w:r w:rsidR="00F85AA5">
        <w:rPr>
          <w:rFonts w:ascii="Verdana" w:hAnsi="Verdana"/>
          <w:color w:val="003057"/>
          <w14:ligatures w14:val="none"/>
        </w:rPr>
        <w:t xml:space="preserve"> Hill</w:t>
      </w:r>
      <w:r w:rsidR="002A4D94">
        <w:rPr>
          <w:rFonts w:ascii="Verdana" w:hAnsi="Verdana"/>
          <w:color w:val="003057"/>
          <w14:ligatures w14:val="none"/>
        </w:rPr>
        <w:t xml:space="preserve">. </w:t>
      </w:r>
      <w:r w:rsidR="002A4D94">
        <w:rPr>
          <w:rFonts w:ascii="Verdana" w:hAnsi="Verdana"/>
          <w:color w:val="003057"/>
          <w:kern w:val="24"/>
          <w14:ligatures w14:val="none"/>
        </w:rPr>
        <w:t xml:space="preserve">Local historic districts in Portland help conserve our diverse, pedestrian-friendly, historic neighborhoods while managing necessary change, including the introduction of additional housing units. </w:t>
      </w:r>
      <w:r w:rsidR="00F85AA5">
        <w:rPr>
          <w:rFonts w:ascii="Verdana" w:hAnsi="Verdana"/>
          <w:color w:val="003057"/>
          <w:kern w:val="24"/>
          <w14:ligatures w14:val="none"/>
        </w:rPr>
        <w:t>Portland’s Historic Preservation ordinance is a proven tool that addresses the conservation of historic neighborhood character through demolition review</w:t>
      </w:r>
      <w:r w:rsidR="006E0BDA">
        <w:rPr>
          <w:rFonts w:ascii="Verdana" w:hAnsi="Verdana"/>
          <w:color w:val="003057"/>
          <w:kern w:val="24"/>
          <w14:ligatures w14:val="none"/>
        </w:rPr>
        <w:t>,</w:t>
      </w:r>
      <w:r w:rsidR="00F85AA5">
        <w:rPr>
          <w:rFonts w:ascii="Verdana" w:hAnsi="Verdana"/>
          <w:color w:val="003057"/>
          <w:kern w:val="24"/>
          <w14:ligatures w14:val="none"/>
        </w:rPr>
        <w:t xml:space="preserve"> the review of alterations to existing buildings</w:t>
      </w:r>
      <w:r w:rsidR="006E0BDA">
        <w:rPr>
          <w:rFonts w:ascii="Verdana" w:hAnsi="Verdana"/>
          <w:color w:val="003057"/>
          <w:kern w:val="24"/>
          <w14:ligatures w14:val="none"/>
        </w:rPr>
        <w:t>, and review of proposals for new construction in historic districts</w:t>
      </w:r>
      <w:r w:rsidR="00F85AA5">
        <w:rPr>
          <w:rFonts w:ascii="Verdana" w:hAnsi="Verdana"/>
          <w:color w:val="003057"/>
          <w:kern w:val="24"/>
          <w14:ligatures w14:val="none"/>
        </w:rPr>
        <w:t xml:space="preserve">.  </w:t>
      </w:r>
    </w:p>
    <w:p w:rsidR="00F85AA5" w:rsidRPr="00A2216C" w:rsidRDefault="00F85AA5" w:rsidP="006E0BDA">
      <w:pPr>
        <w:widowControl w:val="0"/>
        <w:spacing w:line="240" w:lineRule="auto"/>
        <w:rPr>
          <w:rFonts w:ascii="Baskerville Old Face" w:hAnsi="Baskerville Old Face"/>
          <w:color w:val="003057"/>
          <w14:ligatures w14:val="none"/>
        </w:rPr>
      </w:pPr>
    </w:p>
    <w:p w:rsidR="00231CC5" w:rsidRPr="00A2216C" w:rsidRDefault="002A4D94" w:rsidP="00A2216C">
      <w:pPr>
        <w:widowControl w:val="0"/>
        <w:spacing w:line="286" w:lineRule="auto"/>
        <w:rPr>
          <w:rFonts w:ascii="Verdana" w:hAnsi="Verdana"/>
          <w:color w:val="003057"/>
          <w:sz w:val="28"/>
          <w:szCs w:val="28"/>
          <w14:ligatures w14:val="none"/>
        </w:rPr>
      </w:pPr>
      <w:r w:rsidRPr="00A2216C">
        <w:rPr>
          <w:rFonts w:ascii="Verdana" w:hAnsi="Verdana"/>
          <w:color w:val="003057"/>
          <w:sz w:val="28"/>
          <w:szCs w:val="28"/>
          <w14:ligatures w14:val="none"/>
        </w:rPr>
        <w:t xml:space="preserve">What would a Historic District Mean on </w:t>
      </w:r>
      <w:proofErr w:type="spellStart"/>
      <w:r w:rsidRPr="00A2216C">
        <w:rPr>
          <w:rFonts w:ascii="Verdana" w:hAnsi="Verdana"/>
          <w:color w:val="003057"/>
          <w:sz w:val="28"/>
          <w:szCs w:val="28"/>
          <w14:ligatures w14:val="none"/>
        </w:rPr>
        <w:t>Munjoy</w:t>
      </w:r>
      <w:proofErr w:type="spellEnd"/>
      <w:r w:rsidRPr="00A2216C">
        <w:rPr>
          <w:rFonts w:ascii="Verdana" w:hAnsi="Verdana"/>
          <w:color w:val="003057"/>
          <w:sz w:val="28"/>
          <w:szCs w:val="28"/>
          <w14:ligatures w14:val="none"/>
        </w:rPr>
        <w:t xml:space="preserve"> Hill?</w:t>
      </w:r>
    </w:p>
    <w:p w:rsidR="002A4D94" w:rsidRDefault="002A4D94" w:rsidP="002A4D94">
      <w:pPr>
        <w:widowControl w:val="0"/>
        <w:rPr>
          <w:rFonts w:ascii="Verdana" w:hAnsi="Verdana"/>
          <w:color w:val="003057"/>
          <w14:ligatures w14:val="none"/>
        </w:rPr>
      </w:pPr>
      <w:r>
        <w:rPr>
          <w:rFonts w:ascii="Verdana" w:hAnsi="Verdana"/>
          <w:color w:val="003057"/>
          <w:kern w:val="24"/>
          <w14:ligatures w14:val="none"/>
        </w:rPr>
        <w:t>Established in 1990, the</w:t>
      </w:r>
      <w:r>
        <w:rPr>
          <w:rFonts w:ascii="Verdana" w:hAnsi="Verdana"/>
          <w:color w:val="003057"/>
          <w14:ligatures w14:val="none"/>
        </w:rPr>
        <w:t xml:space="preserve"> Historic Preservation Ordinance is </w:t>
      </w:r>
      <w:r w:rsidR="006E0BDA">
        <w:rPr>
          <w:rFonts w:ascii="Verdana" w:hAnsi="Verdana"/>
          <w:color w:val="003057"/>
          <w14:ligatures w14:val="none"/>
        </w:rPr>
        <w:t>managed</w:t>
      </w:r>
      <w:r>
        <w:rPr>
          <w:rFonts w:ascii="Verdana" w:hAnsi="Verdana"/>
          <w:color w:val="003057"/>
          <w14:ligatures w14:val="none"/>
        </w:rPr>
        <w:t xml:space="preserve"> by the </w:t>
      </w:r>
      <w:r w:rsidR="006E0BDA">
        <w:rPr>
          <w:rFonts w:ascii="Verdana" w:hAnsi="Verdana"/>
          <w:color w:val="003057"/>
          <w14:ligatures w14:val="none"/>
        </w:rPr>
        <w:t xml:space="preserve">City’s </w:t>
      </w:r>
      <w:r>
        <w:rPr>
          <w:rFonts w:ascii="Verdana" w:hAnsi="Verdana"/>
          <w:color w:val="003057"/>
          <w14:ligatures w14:val="none"/>
        </w:rPr>
        <w:t xml:space="preserve">Planning Department. Minor changes are reviewed by staff only.  Larger alterations are reviewed by the Historic Preservation Board. </w:t>
      </w:r>
    </w:p>
    <w:p w:rsidR="002A4D94" w:rsidRPr="002A4D94" w:rsidRDefault="002A4D94" w:rsidP="002A4D94">
      <w:pPr>
        <w:widowControl w:val="0"/>
        <w:spacing w:after="0" w:line="240" w:lineRule="auto"/>
        <w:rPr>
          <w:rFonts w:ascii="Verdana" w:hAnsi="Verdana"/>
          <w:color w:val="003057"/>
          <w14:ligatures w14:val="none"/>
        </w:rPr>
      </w:pPr>
    </w:p>
    <w:p w:rsidR="002A4D94" w:rsidRPr="002A4D94" w:rsidRDefault="002A4D94" w:rsidP="002A4D94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2A4D94">
        <w:rPr>
          <w:rFonts w:ascii="Verdana" w:hAnsi="Verdana"/>
          <w:b/>
          <w:bCs/>
          <w:color w:val="003057"/>
          <w14:ligatures w14:val="none"/>
        </w:rPr>
        <w:t xml:space="preserve">You do not have to make home improvements when you are in a historic district. </w:t>
      </w:r>
    </w:p>
    <w:p w:rsidR="002A4D94" w:rsidRPr="002A4D94" w:rsidRDefault="002A4D94" w:rsidP="002A4D94">
      <w:pPr>
        <w:widowControl w:val="0"/>
        <w:spacing w:after="0" w:line="240" w:lineRule="auto"/>
        <w:rPr>
          <w:rFonts w:ascii="Verdana" w:hAnsi="Verdana"/>
          <w:color w:val="003057"/>
          <w14:ligatures w14:val="none"/>
        </w:rPr>
      </w:pPr>
    </w:p>
    <w:p w:rsidR="002A4D94" w:rsidRPr="002A4D94" w:rsidRDefault="002A4D94" w:rsidP="002A4D94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2A4D94">
        <w:rPr>
          <w:rFonts w:ascii="Verdana" w:hAnsi="Verdana"/>
          <w:b/>
          <w:bCs/>
          <w:color w:val="003057"/>
          <w14:ligatures w14:val="none"/>
        </w:rPr>
        <w:t>Only exterior changes visible from the street or public way are regulated under the Historic Preservation ordinance.</w:t>
      </w:r>
      <w:r>
        <w:rPr>
          <w:rFonts w:ascii="Verdana" w:hAnsi="Verdana"/>
          <w:b/>
          <w:bCs/>
          <w:color w:val="003057"/>
          <w14:ligatures w14:val="none"/>
        </w:rPr>
        <w:t xml:space="preserve"> </w:t>
      </w:r>
      <w:r w:rsidRPr="002A4D94">
        <w:rPr>
          <w:rFonts w:ascii="Verdana" w:hAnsi="Verdana"/>
          <w:bCs/>
          <w:color w:val="003057"/>
          <w14:ligatures w14:val="none"/>
        </w:rPr>
        <w:t xml:space="preserve">The ordinance does not apply to interior changes or </w:t>
      </w:r>
      <w:r w:rsidR="00747A82">
        <w:rPr>
          <w:rFonts w:ascii="Verdana" w:hAnsi="Verdana"/>
          <w:bCs/>
          <w:color w:val="003057"/>
          <w14:ligatures w14:val="none"/>
        </w:rPr>
        <w:t xml:space="preserve">to </w:t>
      </w:r>
      <w:r w:rsidRPr="002A4D94">
        <w:rPr>
          <w:rFonts w:ascii="Verdana" w:hAnsi="Verdana"/>
          <w:bCs/>
          <w:color w:val="003057"/>
          <w14:ligatures w14:val="none"/>
        </w:rPr>
        <w:t xml:space="preserve">the use of a particular building. </w:t>
      </w:r>
    </w:p>
    <w:p w:rsidR="002A4D94" w:rsidRPr="002A4D94" w:rsidRDefault="002A4D94" w:rsidP="002A4D94">
      <w:pPr>
        <w:pStyle w:val="ListParagraph"/>
        <w:rPr>
          <w:rFonts w:ascii="Verdana" w:hAnsi="Verdana"/>
          <w:color w:val="003057"/>
          <w14:ligatures w14:val="none"/>
        </w:rPr>
      </w:pPr>
    </w:p>
    <w:p w:rsidR="002A4D94" w:rsidRDefault="002A4D94" w:rsidP="002E2E85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2A4D94">
        <w:rPr>
          <w:rFonts w:ascii="Verdana" w:hAnsi="Verdana"/>
          <w:b/>
          <w:color w:val="003057"/>
          <w14:ligatures w14:val="none"/>
        </w:rPr>
        <w:t>In kind replacements are allowed.</w:t>
      </w:r>
      <w:r w:rsidRPr="002A4D94">
        <w:rPr>
          <w:rFonts w:ascii="Verdana" w:hAnsi="Verdana"/>
          <w:color w:val="003057"/>
          <w14:ligatures w14:val="none"/>
        </w:rPr>
        <w:t xml:space="preserve"> So if a building is already vinyl sided it can be replaced in kind or upgraded.  Likewise</w:t>
      </w:r>
      <w:r>
        <w:rPr>
          <w:rFonts w:ascii="Verdana" w:hAnsi="Verdana"/>
          <w:color w:val="003057"/>
          <w14:ligatures w14:val="none"/>
        </w:rPr>
        <w:t>,</w:t>
      </w:r>
      <w:r w:rsidRPr="002A4D94">
        <w:rPr>
          <w:rFonts w:ascii="Verdana" w:hAnsi="Verdana"/>
          <w:color w:val="003057"/>
          <w14:ligatures w14:val="none"/>
        </w:rPr>
        <w:t xml:space="preserve"> if there are already replacement windows they can be replaced in kind or upgraded. </w:t>
      </w:r>
    </w:p>
    <w:p w:rsidR="002A4D94" w:rsidRPr="002A4D94" w:rsidRDefault="002A4D94" w:rsidP="002A4D94">
      <w:pPr>
        <w:pStyle w:val="ListParagraph"/>
        <w:rPr>
          <w:rFonts w:ascii="Verdana" w:hAnsi="Verdana"/>
          <w:color w:val="003057"/>
          <w14:ligatures w14:val="none"/>
        </w:rPr>
      </w:pPr>
    </w:p>
    <w:p w:rsidR="002A4D94" w:rsidRDefault="002A4D94" w:rsidP="002A4D94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bCs/>
          <w:color w:val="003057"/>
          <w14:ligatures w14:val="none"/>
        </w:rPr>
      </w:pPr>
      <w:r w:rsidRPr="002A4D94">
        <w:rPr>
          <w:rFonts w:ascii="Verdana" w:hAnsi="Verdana"/>
          <w:b/>
          <w:color w:val="003057"/>
          <w14:ligatures w14:val="none"/>
        </w:rPr>
        <w:t>Paint colors are not regulated.</w:t>
      </w:r>
      <w:r>
        <w:rPr>
          <w:rFonts w:ascii="Verdana" w:hAnsi="Verdana"/>
          <w:color w:val="003057"/>
          <w14:ligatures w14:val="none"/>
        </w:rPr>
        <w:t xml:space="preserve"> </w:t>
      </w:r>
      <w:r w:rsidR="006E0BDA" w:rsidRPr="006E0BDA">
        <w:rPr>
          <w:rFonts w:ascii="Verdana" w:hAnsi="Verdana"/>
          <w:color w:val="003057"/>
          <w14:ligatures w14:val="none"/>
        </w:rPr>
        <w:t xml:space="preserve">Buildings that have been painted can be painted any color, </w:t>
      </w:r>
      <w:r w:rsidR="007C1E5C">
        <w:rPr>
          <w:rFonts w:ascii="Verdana" w:hAnsi="Verdana"/>
          <w:color w:val="003057"/>
          <w14:ligatures w14:val="none"/>
        </w:rPr>
        <w:t xml:space="preserve">but </w:t>
      </w:r>
      <w:r w:rsidR="006E0BDA" w:rsidRPr="006E0BDA">
        <w:rPr>
          <w:rFonts w:ascii="Verdana" w:hAnsi="Verdana"/>
          <w:color w:val="003057"/>
          <w14:ligatures w14:val="none"/>
        </w:rPr>
        <w:t xml:space="preserve">an </w:t>
      </w:r>
      <w:r w:rsidRPr="006E0BDA">
        <w:rPr>
          <w:rFonts w:ascii="Verdana" w:hAnsi="Verdana"/>
          <w:bCs/>
          <w:color w:val="003057"/>
          <w14:ligatures w14:val="none"/>
        </w:rPr>
        <w:t>exterior that has never been painted before (e.g. an unpainted brick building) will not be allowed to be painted</w:t>
      </w:r>
      <w:r>
        <w:rPr>
          <w:rFonts w:ascii="Verdana" w:hAnsi="Verdana"/>
          <w:bCs/>
          <w:color w:val="003057"/>
          <w14:ligatures w14:val="none"/>
        </w:rPr>
        <w:t xml:space="preserve">.  </w:t>
      </w:r>
    </w:p>
    <w:p w:rsidR="00F85AA5" w:rsidRPr="00F85AA5" w:rsidRDefault="00F85AA5" w:rsidP="00F85AA5">
      <w:pPr>
        <w:pStyle w:val="ListParagraph"/>
        <w:rPr>
          <w:rFonts w:ascii="Verdana" w:hAnsi="Verdana"/>
          <w:bCs/>
          <w:color w:val="003057"/>
          <w14:ligatures w14:val="none"/>
        </w:rPr>
      </w:pPr>
    </w:p>
    <w:p w:rsidR="00F85AA5" w:rsidRDefault="00231CC5" w:rsidP="00231CC5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bCs/>
          <w:color w:val="003057"/>
          <w14:ligatures w14:val="none"/>
        </w:rPr>
      </w:pPr>
      <w:r w:rsidRPr="00231CC5">
        <w:rPr>
          <w:rFonts w:ascii="Verdana" w:hAnsi="Verdana"/>
          <w:b/>
          <w:bCs/>
          <w:color w:val="003057"/>
          <w14:ligatures w14:val="none"/>
        </w:rPr>
        <w:t xml:space="preserve">Alterations and additions </w:t>
      </w:r>
      <w:r w:rsidRPr="006E0BDA">
        <w:rPr>
          <w:rFonts w:ascii="Verdana" w:hAnsi="Verdana"/>
          <w:b/>
          <w:bCs/>
          <w:color w:val="003057"/>
          <w:u w:val="single"/>
          <w14:ligatures w14:val="none"/>
        </w:rPr>
        <w:t>are</w:t>
      </w:r>
      <w:r w:rsidRPr="00231CC5">
        <w:rPr>
          <w:rFonts w:ascii="Verdana" w:hAnsi="Verdana"/>
          <w:b/>
          <w:bCs/>
          <w:color w:val="003057"/>
          <w14:ligatures w14:val="none"/>
        </w:rPr>
        <w:t xml:space="preserve"> allowed in a historic district.</w:t>
      </w:r>
      <w:r>
        <w:rPr>
          <w:rFonts w:ascii="Verdana" w:hAnsi="Verdana"/>
          <w:bCs/>
          <w:color w:val="003057"/>
          <w14:ligatures w14:val="none"/>
        </w:rPr>
        <w:t xml:space="preserve"> </w:t>
      </w:r>
      <w:r w:rsidR="0043109E">
        <w:rPr>
          <w:rFonts w:ascii="Verdana" w:hAnsi="Verdana"/>
          <w:bCs/>
          <w:color w:val="003057"/>
          <w14:ligatures w14:val="none"/>
        </w:rPr>
        <w:t>New additions, d</w:t>
      </w:r>
      <w:r>
        <w:rPr>
          <w:rFonts w:ascii="Verdana" w:hAnsi="Verdana"/>
          <w:bCs/>
          <w:color w:val="003057"/>
          <w14:ligatures w14:val="none"/>
        </w:rPr>
        <w:t>ormers, decks, solar panels, and garages have been approved in Portland’s historic districts.</w:t>
      </w:r>
      <w:r w:rsidRPr="00231CC5">
        <w:rPr>
          <w:rFonts w:ascii="Verdana" w:hAnsi="Verdana"/>
          <w:color w:val="003057"/>
          <w14:ligatures w14:val="none"/>
        </w:rPr>
        <w:t xml:space="preserve"> </w:t>
      </w:r>
      <w:r>
        <w:rPr>
          <w:rFonts w:ascii="Verdana" w:hAnsi="Verdana"/>
          <w:color w:val="003057"/>
          <w14:ligatures w14:val="none"/>
        </w:rPr>
        <w:t xml:space="preserve">Minor changes are reviewed by staff while larger alterations are reviewed by </w:t>
      </w:r>
      <w:r w:rsidR="006E0BDA">
        <w:rPr>
          <w:rFonts w:ascii="Verdana" w:hAnsi="Verdana"/>
          <w:color w:val="003057"/>
          <w14:ligatures w14:val="none"/>
        </w:rPr>
        <w:t xml:space="preserve">the </w:t>
      </w:r>
      <w:r>
        <w:rPr>
          <w:rFonts w:ascii="Verdana" w:hAnsi="Verdana"/>
          <w:color w:val="003057"/>
          <w14:ligatures w14:val="none"/>
        </w:rPr>
        <w:t>board.</w:t>
      </w:r>
    </w:p>
    <w:p w:rsidR="002A4D94" w:rsidRPr="002A4D94" w:rsidRDefault="002A4D94" w:rsidP="002A4D94">
      <w:pPr>
        <w:pStyle w:val="ListParagraph"/>
        <w:rPr>
          <w:rFonts w:ascii="Verdana" w:hAnsi="Verdana"/>
          <w:bCs/>
          <w:color w:val="003057"/>
          <w14:ligatures w14:val="none"/>
        </w:rPr>
      </w:pPr>
    </w:p>
    <w:p w:rsidR="00446335" w:rsidRDefault="00446335" w:rsidP="00446335">
      <w:pPr>
        <w:pStyle w:val="ListParagraph"/>
        <w:widowControl w:val="0"/>
        <w:numPr>
          <w:ilvl w:val="0"/>
          <w:numId w:val="25"/>
        </w:numPr>
        <w:spacing w:after="0"/>
        <w:rPr>
          <w:rFonts w:ascii="Verdana" w:hAnsi="Verdana"/>
          <w:color w:val="003057"/>
          <w14:ligatures w14:val="none"/>
        </w:rPr>
      </w:pPr>
      <w:r w:rsidRPr="00446335">
        <w:rPr>
          <w:rFonts w:ascii="Verdana" w:hAnsi="Verdana"/>
          <w:b/>
          <w:color w:val="003057"/>
          <w14:ligatures w14:val="none"/>
        </w:rPr>
        <w:t xml:space="preserve">Demolition </w:t>
      </w:r>
      <w:r w:rsidR="006E0BDA">
        <w:rPr>
          <w:rFonts w:ascii="Verdana" w:hAnsi="Verdana"/>
          <w:b/>
          <w:color w:val="003057"/>
          <w14:ligatures w14:val="none"/>
        </w:rPr>
        <w:t xml:space="preserve">can and </w:t>
      </w:r>
      <w:r w:rsidR="000D1F8C">
        <w:rPr>
          <w:rFonts w:ascii="Verdana" w:hAnsi="Verdana"/>
          <w:b/>
          <w:color w:val="003057"/>
          <w14:ligatures w14:val="none"/>
        </w:rPr>
        <w:t xml:space="preserve">does occur </w:t>
      </w:r>
      <w:r w:rsidRPr="00446335">
        <w:rPr>
          <w:rFonts w:ascii="Verdana" w:hAnsi="Verdana"/>
          <w:b/>
          <w:color w:val="003057"/>
          <w14:ligatures w14:val="none"/>
        </w:rPr>
        <w:t>in a historic district</w:t>
      </w:r>
      <w:r>
        <w:rPr>
          <w:rFonts w:ascii="Verdana" w:hAnsi="Verdana"/>
          <w:color w:val="003057"/>
          <w14:ligatures w14:val="none"/>
        </w:rPr>
        <w:t xml:space="preserve">. In a district, a non-contributing building may be demolished </w:t>
      </w:r>
      <w:r w:rsidR="006E0BDA">
        <w:rPr>
          <w:rFonts w:ascii="Verdana" w:hAnsi="Verdana"/>
          <w:color w:val="003057"/>
          <w14:ligatures w14:val="none"/>
        </w:rPr>
        <w:t xml:space="preserve">by right </w:t>
      </w:r>
      <w:r>
        <w:rPr>
          <w:rFonts w:ascii="Verdana" w:hAnsi="Verdana"/>
          <w:color w:val="003057"/>
          <w14:ligatures w14:val="none"/>
        </w:rPr>
        <w:t>without board approval. The ordinance has an appeals process for demolition of a Co</w:t>
      </w:r>
      <w:r w:rsidR="006E0BDA">
        <w:rPr>
          <w:rFonts w:ascii="Verdana" w:hAnsi="Verdana"/>
          <w:color w:val="003057"/>
          <w14:ligatures w14:val="none"/>
        </w:rPr>
        <w:t>ntributing or Landmark building</w:t>
      </w:r>
      <w:r>
        <w:rPr>
          <w:rFonts w:ascii="Verdana" w:hAnsi="Verdana"/>
          <w:color w:val="003057"/>
          <w14:ligatures w14:val="none"/>
        </w:rPr>
        <w:t xml:space="preserve"> with no reasonable use</w:t>
      </w:r>
      <w:r w:rsidR="006E0BDA">
        <w:rPr>
          <w:rFonts w:ascii="Verdana" w:hAnsi="Verdana"/>
          <w:color w:val="003057"/>
          <w14:ligatures w14:val="none"/>
        </w:rPr>
        <w:t xml:space="preserve"> or unsound structure.</w:t>
      </w:r>
      <w:r>
        <w:rPr>
          <w:rFonts w:ascii="Verdana" w:hAnsi="Verdana"/>
          <w:color w:val="003057"/>
          <w14:ligatures w14:val="none"/>
        </w:rPr>
        <w:t xml:space="preserve"> </w:t>
      </w:r>
    </w:p>
    <w:p w:rsidR="00446335" w:rsidRPr="00446335" w:rsidRDefault="00446335" w:rsidP="00446335">
      <w:pPr>
        <w:widowControl w:val="0"/>
        <w:spacing w:after="0"/>
        <w:rPr>
          <w:rFonts w:ascii="Verdana" w:hAnsi="Verdana"/>
          <w:color w:val="003057"/>
          <w14:ligatures w14:val="none"/>
        </w:rPr>
      </w:pPr>
    </w:p>
    <w:p w:rsidR="002A4D94" w:rsidRPr="002A4D94" w:rsidRDefault="002A4D94" w:rsidP="002A4D94">
      <w:pPr>
        <w:pStyle w:val="ListParagraph"/>
        <w:widowControl w:val="0"/>
        <w:numPr>
          <w:ilvl w:val="0"/>
          <w:numId w:val="25"/>
        </w:numPr>
        <w:spacing w:after="0"/>
        <w:rPr>
          <w:rFonts w:ascii="Verdana" w:hAnsi="Verdana"/>
          <w:b/>
          <w:bCs/>
          <w:color w:val="003057"/>
          <w14:ligatures w14:val="none"/>
        </w:rPr>
      </w:pPr>
      <w:r w:rsidRPr="002A4D94">
        <w:rPr>
          <w:rFonts w:ascii="Verdana" w:hAnsi="Verdana"/>
          <w:b/>
          <w:color w:val="003057"/>
          <w14:ligatures w14:val="none"/>
        </w:rPr>
        <w:t>Inclusion of a building in a historic district will not trigger re-assessment nor cause it to be singled out for additional taxes.</w:t>
      </w:r>
      <w:r w:rsidRPr="002A4D94">
        <w:rPr>
          <w:rFonts w:ascii="Verdana" w:hAnsi="Verdana"/>
          <w:color w:val="003057"/>
          <w14:ligatures w14:val="none"/>
        </w:rPr>
        <w:t xml:space="preserve"> Re-assessment occurs periodically on a city-wide basis.</w:t>
      </w:r>
      <w:r w:rsidRPr="002A4D94">
        <w:rPr>
          <w:rFonts w:ascii="Verdana" w:hAnsi="Verdana"/>
          <w:b/>
          <w:bCs/>
          <w:color w:val="003057"/>
          <w14:ligatures w14:val="none"/>
        </w:rPr>
        <w:t> </w:t>
      </w:r>
    </w:p>
    <w:p w:rsidR="002A4D94" w:rsidRDefault="002A4D94" w:rsidP="002A4D94">
      <w:pPr>
        <w:widowControl w:val="0"/>
        <w:spacing w:after="0"/>
        <w:rPr>
          <w:rFonts w:ascii="Verdana" w:hAnsi="Verdana"/>
          <w:b/>
          <w:bCs/>
          <w:color w:val="003057"/>
          <w14:ligatures w14:val="none"/>
        </w:rPr>
      </w:pPr>
      <w:r>
        <w:rPr>
          <w:rFonts w:ascii="Verdana" w:hAnsi="Verdana"/>
          <w:b/>
          <w:bCs/>
          <w:color w:val="003057"/>
          <w14:ligatures w14:val="none"/>
        </w:rPr>
        <w:t> </w:t>
      </w:r>
    </w:p>
    <w:p w:rsidR="002A4D94" w:rsidRDefault="002A4D94" w:rsidP="00E403CC">
      <w:pPr>
        <w:pStyle w:val="ListParagraph"/>
        <w:widowControl w:val="0"/>
        <w:numPr>
          <w:ilvl w:val="0"/>
          <w:numId w:val="25"/>
        </w:numPr>
        <w:spacing w:after="0"/>
        <w:rPr>
          <w:rFonts w:ascii="Verdana" w:hAnsi="Verdana"/>
          <w:color w:val="003057"/>
          <w14:ligatures w14:val="none"/>
        </w:rPr>
      </w:pPr>
      <w:r w:rsidRPr="002A4D94">
        <w:rPr>
          <w:rFonts w:ascii="Verdana" w:hAnsi="Verdana"/>
          <w:b/>
          <w:bCs/>
          <w:color w:val="003057"/>
          <w14:ligatures w14:val="none"/>
        </w:rPr>
        <w:t>It is n</w:t>
      </w:r>
      <w:r w:rsidRPr="002A4D94">
        <w:rPr>
          <w:rFonts w:ascii="Verdana" w:hAnsi="Verdana"/>
          <w:b/>
          <w:color w:val="003057"/>
          <w14:ligatures w14:val="none"/>
        </w:rPr>
        <w:t xml:space="preserve">ot necessarily </w:t>
      </w:r>
      <w:r w:rsidRPr="002A4D94">
        <w:rPr>
          <w:rFonts w:ascii="Verdana" w:hAnsi="Verdana"/>
          <w:b/>
          <w:bCs/>
          <w:color w:val="003057"/>
          <w14:ligatures w14:val="none"/>
        </w:rPr>
        <w:t xml:space="preserve">more expensive to repair or remodel a home if it’s in an historic district. </w:t>
      </w:r>
      <w:r w:rsidRPr="002A4D94">
        <w:rPr>
          <w:rFonts w:ascii="Verdana" w:hAnsi="Verdana"/>
          <w:color w:val="003057"/>
          <w14:ligatures w14:val="none"/>
        </w:rPr>
        <w:t>There are many different methods and material options for preservation projects. The ordinance includes language like “when feasible,” and the historic preservation board will consider cost and possible alternatives.</w:t>
      </w:r>
    </w:p>
    <w:p w:rsidR="00231CC5" w:rsidRPr="00231CC5" w:rsidRDefault="00231CC5" w:rsidP="00231CC5">
      <w:pPr>
        <w:pStyle w:val="ListParagraph"/>
        <w:rPr>
          <w:rFonts w:ascii="Verdana" w:hAnsi="Verdana"/>
          <w:color w:val="003057"/>
          <w14:ligatures w14:val="none"/>
        </w:rPr>
      </w:pPr>
    </w:p>
    <w:p w:rsidR="00231CC5" w:rsidRPr="00446335" w:rsidRDefault="00231CC5" w:rsidP="00446335">
      <w:pPr>
        <w:widowControl w:val="0"/>
        <w:spacing w:after="0"/>
        <w:rPr>
          <w:rFonts w:ascii="Verdana" w:hAnsi="Verdana"/>
          <w:color w:val="003057"/>
          <w14:ligatures w14:val="none"/>
        </w:rPr>
      </w:pPr>
    </w:p>
    <w:p w:rsidR="00A2216C" w:rsidRDefault="002A4D94" w:rsidP="00A2216C">
      <w:pPr>
        <w:widowControl w:val="0"/>
        <w:spacing w:line="286" w:lineRule="auto"/>
        <w:jc w:val="center"/>
        <w:rPr>
          <w:rFonts w:ascii="Verdana" w:hAnsi="Verdana"/>
          <w:color w:val="003057"/>
          <w:sz w:val="28"/>
          <w:szCs w:val="28"/>
          <w14:ligatures w14:val="none"/>
        </w:rPr>
      </w:pPr>
      <w:r>
        <w:rPr>
          <w14:ligatures w14:val="none"/>
        </w:rPr>
        <w:t> </w:t>
      </w:r>
      <w:r w:rsidR="00A2216C">
        <w:rPr>
          <w:rFonts w:ascii="Verdana" w:hAnsi="Verdana"/>
          <w:color w:val="003057"/>
          <w:sz w:val="28"/>
          <w:szCs w:val="28"/>
          <w14:ligatures w14:val="none"/>
        </w:rPr>
        <w:t xml:space="preserve">Why is </w:t>
      </w:r>
      <w:proofErr w:type="spellStart"/>
      <w:r w:rsidR="00A2216C">
        <w:rPr>
          <w:rFonts w:ascii="Verdana" w:hAnsi="Verdana"/>
          <w:color w:val="003057"/>
          <w:sz w:val="28"/>
          <w:szCs w:val="28"/>
          <w14:ligatures w14:val="none"/>
        </w:rPr>
        <w:t>Munjoy</w:t>
      </w:r>
      <w:proofErr w:type="spellEnd"/>
      <w:r w:rsidR="00A2216C">
        <w:rPr>
          <w:rFonts w:ascii="Verdana" w:hAnsi="Verdana"/>
          <w:color w:val="003057"/>
          <w:sz w:val="28"/>
          <w:szCs w:val="28"/>
          <w14:ligatures w14:val="none"/>
        </w:rPr>
        <w:t xml:space="preserve"> Hill Historically Significant?</w:t>
      </w:r>
    </w:p>
    <w:p w:rsidR="002A4D94" w:rsidRPr="00A2216C" w:rsidRDefault="00A2216C" w:rsidP="006E0BDA">
      <w:pPr>
        <w:widowControl w:val="0"/>
        <w:spacing w:line="240" w:lineRule="auto"/>
        <w:rPr>
          <w:rFonts w:ascii="Verdana" w:hAnsi="Verdana"/>
          <w:color w:val="003057"/>
          <w14:ligatures w14:val="none"/>
        </w:rPr>
      </w:pPr>
      <w:r w:rsidRPr="00A2216C">
        <w:rPr>
          <w:rFonts w:ascii="Verdana" w:hAnsi="Verdana"/>
          <w:color w:val="003057"/>
          <w14:ligatures w14:val="none"/>
        </w:rPr>
        <w:t xml:space="preserve">For over a century, </w:t>
      </w:r>
      <w:proofErr w:type="spellStart"/>
      <w:r w:rsidRPr="00A2216C">
        <w:rPr>
          <w:rFonts w:ascii="Verdana" w:hAnsi="Verdana"/>
          <w:color w:val="003057"/>
          <w14:ligatures w14:val="none"/>
        </w:rPr>
        <w:t>Munjoy</w:t>
      </w:r>
      <w:proofErr w:type="spellEnd"/>
      <w:r w:rsidRPr="00A2216C">
        <w:rPr>
          <w:rFonts w:ascii="Verdana" w:hAnsi="Verdana"/>
          <w:color w:val="003057"/>
          <w14:ligatures w14:val="none"/>
        </w:rPr>
        <w:t xml:space="preserve"> Hill was the city’s most densely populated and ethnically diverse neighborhood. </w:t>
      </w:r>
      <w:r>
        <w:rPr>
          <w:rFonts w:ascii="Verdana" w:hAnsi="Verdana"/>
          <w:color w:val="003057"/>
          <w14:ligatures w14:val="none"/>
        </w:rPr>
        <w:t xml:space="preserve">It developed during three primary periods of construction. The first was in the 1840s-1850s when industrial activity on the waterfront led to a residential boom on the </w:t>
      </w:r>
      <w:r w:rsidR="006E0BDA">
        <w:rPr>
          <w:rFonts w:ascii="Verdana" w:hAnsi="Verdana"/>
          <w:color w:val="003057"/>
          <w14:ligatures w14:val="none"/>
        </w:rPr>
        <w:t>H</w:t>
      </w:r>
      <w:r>
        <w:rPr>
          <w:rFonts w:ascii="Verdana" w:hAnsi="Verdana"/>
          <w:color w:val="003057"/>
          <w14:ligatures w14:val="none"/>
        </w:rPr>
        <w:t xml:space="preserve">ill, attracting workers from the Portland Company and </w:t>
      </w:r>
      <w:r w:rsidR="00747A82">
        <w:rPr>
          <w:rFonts w:ascii="Verdana" w:hAnsi="Verdana"/>
          <w:color w:val="003057"/>
          <w14:ligatures w14:val="none"/>
        </w:rPr>
        <w:t xml:space="preserve">the </w:t>
      </w:r>
      <w:r>
        <w:rPr>
          <w:rFonts w:ascii="Verdana" w:hAnsi="Verdana"/>
          <w:color w:val="003057"/>
          <w14:ligatures w14:val="none"/>
        </w:rPr>
        <w:t>Atlantic and St. Lawrence Railroad</w:t>
      </w:r>
      <w:r w:rsidR="00747A82">
        <w:rPr>
          <w:rFonts w:ascii="Verdana" w:hAnsi="Verdana"/>
          <w:color w:val="003057"/>
          <w14:ligatures w14:val="none"/>
        </w:rPr>
        <w:t>. The second major building period occurred in the years following t</w:t>
      </w:r>
      <w:r w:rsidR="006E28DD">
        <w:rPr>
          <w:rFonts w:ascii="Verdana" w:hAnsi="Verdana"/>
          <w:color w:val="003057"/>
          <w14:ligatures w14:val="none"/>
        </w:rPr>
        <w:t>he Great Fire of 1866 when the H</w:t>
      </w:r>
      <w:r w:rsidR="00747A82">
        <w:rPr>
          <w:rFonts w:ascii="Verdana" w:hAnsi="Verdana"/>
          <w:color w:val="003057"/>
          <w14:ligatures w14:val="none"/>
        </w:rPr>
        <w:t>ill was an attractive and safe place to rebuild away from the</w:t>
      </w:r>
      <w:r w:rsidR="0043109E">
        <w:rPr>
          <w:rFonts w:ascii="Verdana" w:hAnsi="Verdana"/>
          <w:color w:val="003057"/>
          <w14:ligatures w14:val="none"/>
        </w:rPr>
        <w:t xml:space="preserve"> downtown’s</w:t>
      </w:r>
      <w:r w:rsidR="00747A82">
        <w:rPr>
          <w:rFonts w:ascii="Verdana" w:hAnsi="Verdana"/>
          <w:color w:val="003057"/>
          <w14:ligatures w14:val="none"/>
        </w:rPr>
        <w:t xml:space="preserve"> industrial and commercial activity. </w:t>
      </w:r>
      <w:r w:rsidR="0043109E">
        <w:rPr>
          <w:rFonts w:ascii="Verdana" w:hAnsi="Verdana"/>
          <w:color w:val="003057"/>
          <w14:ligatures w14:val="none"/>
        </w:rPr>
        <w:t>The</w:t>
      </w:r>
      <w:r w:rsidR="00747A82">
        <w:rPr>
          <w:rFonts w:ascii="Verdana" w:hAnsi="Verdana"/>
          <w:color w:val="003057"/>
          <w14:ligatures w14:val="none"/>
        </w:rPr>
        <w:t xml:space="preserve"> l</w:t>
      </w:r>
      <w:r w:rsidR="0043109E">
        <w:rPr>
          <w:rFonts w:ascii="Verdana" w:hAnsi="Verdana"/>
          <w:color w:val="003057"/>
          <w14:ligatures w14:val="none"/>
        </w:rPr>
        <w:t>ast major development period</w:t>
      </w:r>
      <w:r w:rsidR="00747A82">
        <w:rPr>
          <w:rFonts w:ascii="Verdana" w:hAnsi="Verdana"/>
          <w:color w:val="003057"/>
          <w14:ligatures w14:val="none"/>
        </w:rPr>
        <w:t xml:space="preserve"> was at the turn of the 20</w:t>
      </w:r>
      <w:r w:rsidR="00747A82" w:rsidRPr="00747A82">
        <w:rPr>
          <w:rFonts w:ascii="Verdana" w:hAnsi="Verdana"/>
          <w:color w:val="003057"/>
          <w:vertAlign w:val="superscript"/>
          <w14:ligatures w14:val="none"/>
        </w:rPr>
        <w:t>th</w:t>
      </w:r>
      <w:r w:rsidR="00747A82">
        <w:rPr>
          <w:rFonts w:ascii="Verdana" w:hAnsi="Verdana"/>
          <w:color w:val="003057"/>
          <w14:ligatures w14:val="none"/>
        </w:rPr>
        <w:t xml:space="preserve"> century </w:t>
      </w:r>
      <w:r w:rsidR="0043109E">
        <w:rPr>
          <w:rFonts w:ascii="Verdana" w:hAnsi="Verdana"/>
          <w:color w:val="003057"/>
          <w14:ligatures w14:val="none"/>
        </w:rPr>
        <w:t xml:space="preserve">when dense housing </w:t>
      </w:r>
      <w:r w:rsidR="007C1E5C">
        <w:rPr>
          <w:rFonts w:ascii="Verdana" w:hAnsi="Verdana"/>
          <w:color w:val="003057"/>
          <w14:ligatures w14:val="none"/>
        </w:rPr>
        <w:t>forms</w:t>
      </w:r>
      <w:r w:rsidR="006E28DD">
        <w:rPr>
          <w:rFonts w:ascii="Verdana" w:hAnsi="Verdana"/>
          <w:color w:val="003057"/>
          <w14:ligatures w14:val="none"/>
        </w:rPr>
        <w:t xml:space="preserve"> like triple-</w:t>
      </w:r>
      <w:r w:rsidR="0043109E">
        <w:rPr>
          <w:rFonts w:ascii="Verdana" w:hAnsi="Verdana"/>
          <w:color w:val="003057"/>
          <w14:ligatures w14:val="none"/>
        </w:rPr>
        <w:t>deckers and apartment blocks were built to house</w:t>
      </w:r>
      <w:r w:rsidR="00747A82">
        <w:rPr>
          <w:rFonts w:ascii="Verdana" w:hAnsi="Verdana"/>
          <w:color w:val="003057"/>
          <w14:ligatures w14:val="none"/>
        </w:rPr>
        <w:t xml:space="preserve"> Portland’s </w:t>
      </w:r>
      <w:r w:rsidR="006E28DD">
        <w:rPr>
          <w:rFonts w:ascii="Verdana" w:hAnsi="Verdana"/>
          <w:color w:val="003057"/>
          <w14:ligatures w14:val="none"/>
        </w:rPr>
        <w:t>grow</w:t>
      </w:r>
      <w:r w:rsidR="00747A82">
        <w:rPr>
          <w:rFonts w:ascii="Verdana" w:hAnsi="Verdana"/>
          <w:color w:val="003057"/>
          <w14:ligatures w14:val="none"/>
        </w:rPr>
        <w:t xml:space="preserve">ing immigrant population. </w:t>
      </w:r>
      <w:r w:rsidR="006E0BDA">
        <w:rPr>
          <w:rFonts w:ascii="Verdana" w:hAnsi="Verdana"/>
          <w:color w:val="003057"/>
          <w14:ligatures w14:val="none"/>
        </w:rPr>
        <w:t xml:space="preserve">Landmarks’ recent architectural survey of over 750 properties shows that at least 2/3 </w:t>
      </w:r>
      <w:r w:rsidR="007C1E5C">
        <w:rPr>
          <w:rFonts w:ascii="Verdana" w:hAnsi="Verdana"/>
          <w:color w:val="003057"/>
          <w14:ligatures w14:val="none"/>
        </w:rPr>
        <w:t xml:space="preserve">of the buildings </w:t>
      </w:r>
      <w:r w:rsidR="006E0BDA">
        <w:rPr>
          <w:rFonts w:ascii="Verdana" w:hAnsi="Verdana"/>
          <w:color w:val="003057"/>
          <w14:ligatures w14:val="none"/>
        </w:rPr>
        <w:t xml:space="preserve">contribute to </w:t>
      </w:r>
      <w:r w:rsidR="007C1E5C">
        <w:rPr>
          <w:rFonts w:ascii="Verdana" w:hAnsi="Verdana"/>
          <w:color w:val="003057"/>
          <w14:ligatures w14:val="none"/>
        </w:rPr>
        <w:t>the neighborhood’s historic character</w:t>
      </w:r>
      <w:r w:rsidR="006E0BDA">
        <w:rPr>
          <w:rFonts w:ascii="Verdana" w:hAnsi="Verdana"/>
          <w:color w:val="003057"/>
          <w14:ligatures w14:val="none"/>
        </w:rPr>
        <w:t>.</w:t>
      </w:r>
    </w:p>
    <w:p w:rsidR="00A2216C" w:rsidRPr="00747A82" w:rsidRDefault="00A2216C" w:rsidP="00747A82">
      <w:pPr>
        <w:widowControl w:val="0"/>
        <w:spacing w:after="0"/>
        <w:rPr>
          <w:rFonts w:ascii="Verdana" w:hAnsi="Verdana"/>
          <w:color w:val="003057"/>
          <w14:ligatures w14:val="none"/>
        </w:rPr>
      </w:pPr>
    </w:p>
    <w:p w:rsidR="000D1F8C" w:rsidRDefault="000D1F8C" w:rsidP="000D1F8C">
      <w:pPr>
        <w:widowControl w:val="0"/>
        <w:spacing w:after="0"/>
        <w:jc w:val="center"/>
        <w:rPr>
          <w:rFonts w:ascii="Verdana" w:hAnsi="Verdana"/>
          <w:color w:val="003057"/>
          <w:sz w:val="28"/>
          <w:szCs w:val="28"/>
          <w14:ligatures w14:val="none"/>
        </w:rPr>
      </w:pPr>
      <w:r>
        <w:rPr>
          <w:rFonts w:ascii="Verdana" w:hAnsi="Verdana"/>
          <w:color w:val="003057"/>
          <w:sz w:val="28"/>
          <w:szCs w:val="28"/>
          <w14:ligatures w14:val="none"/>
        </w:rPr>
        <w:t>Benefits of a Local Historic District</w:t>
      </w:r>
    </w:p>
    <w:p w:rsidR="000D1F8C" w:rsidRDefault="000D1F8C" w:rsidP="000D1F8C">
      <w:pPr>
        <w:widowControl w:val="0"/>
        <w:rPr>
          <w:rFonts w:ascii="Verdana" w:hAnsi="Verdana"/>
          <w:color w:val="003057"/>
          <w:sz w:val="8"/>
          <w:szCs w:val="8"/>
          <w14:ligatures w14:val="none"/>
        </w:rPr>
      </w:pPr>
      <w:r>
        <w:rPr>
          <w:rFonts w:ascii="Verdana" w:hAnsi="Verdana"/>
          <w:color w:val="003057"/>
          <w:sz w:val="8"/>
          <w:szCs w:val="8"/>
          <w14:ligatures w14:val="none"/>
        </w:rPr>
        <w:t> </w:t>
      </w:r>
    </w:p>
    <w:p w:rsidR="00747A82" w:rsidRPr="00747A82" w:rsidRDefault="00747A82" w:rsidP="00747A82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0D1F8C">
        <w:rPr>
          <w:rFonts w:ascii="Verdana" w:hAnsi="Verdana"/>
          <w:b/>
          <w:bCs/>
          <w:color w:val="003057"/>
          <w:spacing w:val="7"/>
          <w14:ligatures w14:val="none"/>
        </w:rPr>
        <w:t xml:space="preserve">Historic Preservation is about keeping buildings alive, in active use, and relevant to the needs of the community. </w:t>
      </w:r>
      <w:r w:rsidRPr="000D1F8C">
        <w:rPr>
          <w:rFonts w:ascii="Verdana" w:hAnsi="Verdana"/>
          <w:color w:val="003057"/>
          <w:spacing w:val="7"/>
          <w14:ligatures w14:val="none"/>
        </w:rPr>
        <w:t xml:space="preserve">To best accomplish this, zoning and building regulations need to be flexible and responsive to change even as they try to preserve what is special about each building. </w:t>
      </w:r>
    </w:p>
    <w:p w:rsidR="00747A82" w:rsidRPr="00747A82" w:rsidRDefault="00747A82" w:rsidP="00747A82">
      <w:pPr>
        <w:widowControl w:val="0"/>
        <w:spacing w:after="0" w:line="240" w:lineRule="auto"/>
        <w:rPr>
          <w:rFonts w:ascii="Verdana" w:hAnsi="Verdana"/>
          <w:color w:val="003057"/>
          <w14:ligatures w14:val="none"/>
        </w:rPr>
      </w:pPr>
    </w:p>
    <w:p w:rsidR="00747A82" w:rsidRPr="000D1F8C" w:rsidRDefault="00747A82" w:rsidP="00747A82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0D1F8C">
        <w:rPr>
          <w:rFonts w:ascii="Verdana" w:hAnsi="Verdana"/>
          <w:b/>
          <w:bCs/>
          <w:color w:val="003057"/>
          <w:spacing w:val="7"/>
          <w14:ligatures w14:val="none"/>
        </w:rPr>
        <w:t>Local districts can protect a property owner’s investment</w:t>
      </w:r>
      <w:r w:rsidRPr="000D1F8C">
        <w:rPr>
          <w:rFonts w:ascii="Verdana" w:hAnsi="Verdana"/>
          <w:color w:val="003057"/>
          <w:spacing w:val="7"/>
          <w14:ligatures w14:val="none"/>
        </w:rPr>
        <w:t>. Regulations are intended to prevent the demolition or inappropriate alterati</w:t>
      </w:r>
      <w:bookmarkStart w:id="0" w:name="_GoBack"/>
      <w:bookmarkEnd w:id="0"/>
      <w:r w:rsidRPr="000D1F8C">
        <w:rPr>
          <w:rFonts w:ascii="Verdana" w:hAnsi="Verdana"/>
          <w:color w:val="003057"/>
          <w:spacing w:val="7"/>
          <w14:ligatures w14:val="none"/>
        </w:rPr>
        <w:t>on of historic properties, and thus, the fabric of the historic district that gives properties their value. They offer predictability for residents and for those considering investing in the community.</w:t>
      </w:r>
    </w:p>
    <w:p w:rsidR="00747A82" w:rsidRPr="00747A82" w:rsidRDefault="00747A82" w:rsidP="00747A82">
      <w:pPr>
        <w:widowControl w:val="0"/>
        <w:spacing w:after="0" w:line="240" w:lineRule="auto"/>
        <w:rPr>
          <w:rFonts w:ascii="Verdana" w:hAnsi="Verdana"/>
          <w:color w:val="003057"/>
          <w14:ligatures w14:val="none"/>
        </w:rPr>
      </w:pPr>
    </w:p>
    <w:p w:rsidR="006E0BDA" w:rsidRPr="000D1F8C" w:rsidRDefault="006E0BDA" w:rsidP="006E0BDA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0D1F8C">
        <w:rPr>
          <w:rFonts w:ascii="Verdana" w:hAnsi="Verdana"/>
          <w:b/>
          <w:bCs/>
          <w:color w:val="003057"/>
          <w:spacing w:val="7"/>
          <w14:ligatures w14:val="none"/>
        </w:rPr>
        <w:t xml:space="preserve">Local districts help tell the story of our city in all its complexity and diversity. </w:t>
      </w:r>
      <w:r w:rsidRPr="000D1F8C">
        <w:rPr>
          <w:rFonts w:ascii="Verdana" w:hAnsi="Verdana"/>
          <w:color w:val="003057"/>
          <w:spacing w:val="7"/>
          <w14:ligatures w14:val="none"/>
        </w:rPr>
        <w:t>No one would argue that certain historic distric</w:t>
      </w:r>
      <w:r w:rsidR="004821CC">
        <w:rPr>
          <w:rFonts w:ascii="Verdana" w:hAnsi="Verdana"/>
          <w:color w:val="003057"/>
          <w:spacing w:val="7"/>
          <w14:ligatures w14:val="none"/>
        </w:rPr>
        <w:t xml:space="preserve">ts feature grand historic homes. </w:t>
      </w:r>
      <w:r w:rsidRPr="000D1F8C">
        <w:rPr>
          <w:rFonts w:ascii="Verdana" w:hAnsi="Verdana"/>
          <w:color w:val="003057"/>
          <w:spacing w:val="7"/>
          <w14:ligatures w14:val="none"/>
        </w:rPr>
        <w:t xml:space="preserve">But historic districts also celebrate modest </w:t>
      </w:r>
      <w:r w:rsidR="004821CC">
        <w:rPr>
          <w:rFonts w:ascii="Verdana" w:hAnsi="Verdana"/>
          <w:color w:val="003057"/>
          <w:spacing w:val="7"/>
          <w14:ligatures w14:val="none"/>
        </w:rPr>
        <w:t>buildings</w:t>
      </w:r>
      <w:r w:rsidRPr="000D1F8C">
        <w:rPr>
          <w:rFonts w:ascii="Verdana" w:hAnsi="Verdana"/>
          <w:color w:val="003057"/>
          <w:spacing w:val="7"/>
          <w14:ligatures w14:val="none"/>
        </w:rPr>
        <w:t xml:space="preserve"> that have been</w:t>
      </w:r>
      <w:r w:rsidR="004821CC">
        <w:rPr>
          <w:rFonts w:ascii="Verdana" w:hAnsi="Verdana"/>
          <w:color w:val="003057"/>
          <w:spacing w:val="7"/>
          <w14:ligatures w14:val="none"/>
        </w:rPr>
        <w:t xml:space="preserve"> home to generations of working</w:t>
      </w:r>
      <w:r w:rsidRPr="000D1F8C">
        <w:rPr>
          <w:rFonts w:ascii="Verdana" w:hAnsi="Verdana"/>
          <w:color w:val="003057"/>
          <w:spacing w:val="7"/>
          <w14:ligatures w14:val="none"/>
        </w:rPr>
        <w:t xml:space="preserve"> families. The history embedded in these communities is just as important, and just as worthy of full preservation efforts.</w:t>
      </w:r>
    </w:p>
    <w:p w:rsidR="000D1F8C" w:rsidRPr="000D1F8C" w:rsidRDefault="000D1F8C" w:rsidP="000D1F8C">
      <w:pPr>
        <w:widowControl w:val="0"/>
        <w:spacing w:after="0" w:line="240" w:lineRule="auto"/>
        <w:rPr>
          <w:rFonts w:ascii="Verdana" w:hAnsi="Verdana"/>
          <w:color w:val="003057"/>
          <w14:ligatures w14:val="none"/>
        </w:rPr>
      </w:pPr>
    </w:p>
    <w:p w:rsidR="000D1F8C" w:rsidRDefault="000D1F8C" w:rsidP="000D1F8C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0D1F8C">
        <w:rPr>
          <w:rFonts w:ascii="Verdana" w:hAnsi="Verdana"/>
          <w:b/>
          <w:bCs/>
          <w:color w:val="003057"/>
          <w14:ligatures w14:val="none"/>
        </w:rPr>
        <w:t>Local districts give communities a voice in their future.</w:t>
      </w:r>
      <w:r w:rsidR="00A2216C">
        <w:rPr>
          <w:rFonts w:ascii="Verdana" w:hAnsi="Verdana"/>
          <w:color w:val="003057"/>
          <w14:ligatures w14:val="none"/>
        </w:rPr>
        <w:t xml:space="preserve"> By participating in </w:t>
      </w:r>
      <w:r w:rsidR="006E28DD">
        <w:rPr>
          <w:rFonts w:ascii="Verdana" w:hAnsi="Verdana"/>
          <w:color w:val="003057"/>
          <w14:ligatures w14:val="none"/>
        </w:rPr>
        <w:t xml:space="preserve">the </w:t>
      </w:r>
      <w:r w:rsidR="006E28DD">
        <w:rPr>
          <w:rFonts w:ascii="Verdana" w:hAnsi="Verdana"/>
          <w:color w:val="003057"/>
          <w14:ligatures w14:val="none"/>
        </w:rPr>
        <w:t>Historic Preservation Board</w:t>
      </w:r>
      <w:r w:rsidR="00A2216C">
        <w:rPr>
          <w:rFonts w:ascii="Verdana" w:hAnsi="Verdana"/>
          <w:color w:val="003057"/>
          <w14:ligatures w14:val="none"/>
        </w:rPr>
        <w:t xml:space="preserve"> </w:t>
      </w:r>
      <w:r w:rsidR="004821CC">
        <w:rPr>
          <w:rFonts w:ascii="Verdana" w:hAnsi="Verdana"/>
          <w:color w:val="003057"/>
          <w14:ligatures w14:val="none"/>
        </w:rPr>
        <w:t xml:space="preserve">public </w:t>
      </w:r>
      <w:r w:rsidRPr="000D1F8C">
        <w:rPr>
          <w:rFonts w:ascii="Verdana" w:hAnsi="Verdana"/>
          <w:color w:val="003057"/>
          <w14:ligatures w14:val="none"/>
        </w:rPr>
        <w:t xml:space="preserve">process, citizens can </w:t>
      </w:r>
      <w:r w:rsidR="00747A82">
        <w:rPr>
          <w:rFonts w:ascii="Verdana" w:hAnsi="Verdana"/>
          <w:color w:val="003057"/>
          <w14:ligatures w14:val="none"/>
        </w:rPr>
        <w:t>influence</w:t>
      </w:r>
      <w:r w:rsidRPr="000D1F8C">
        <w:rPr>
          <w:rFonts w:ascii="Verdana" w:hAnsi="Verdana"/>
          <w:color w:val="003057"/>
          <w14:ligatures w14:val="none"/>
        </w:rPr>
        <w:t xml:space="preserve"> their communities’ </w:t>
      </w:r>
      <w:r w:rsidR="00747A82">
        <w:rPr>
          <w:rFonts w:ascii="Verdana" w:hAnsi="Verdana"/>
          <w:color w:val="003057"/>
          <w14:ligatures w14:val="none"/>
        </w:rPr>
        <w:t>development</w:t>
      </w:r>
      <w:r w:rsidRPr="000D1F8C">
        <w:rPr>
          <w:rFonts w:ascii="Verdana" w:hAnsi="Verdana"/>
          <w:color w:val="003057"/>
          <w14:ligatures w14:val="none"/>
        </w:rPr>
        <w:t xml:space="preserve">. Making these decisions together in a structured way―rather than behind closed doors or without public comment―gives everyone involved a sense of empowerment and confidence. </w:t>
      </w:r>
    </w:p>
    <w:p w:rsidR="000D1F8C" w:rsidRPr="000D1F8C" w:rsidRDefault="000D1F8C" w:rsidP="000D1F8C">
      <w:pPr>
        <w:widowControl w:val="0"/>
        <w:spacing w:after="0" w:line="240" w:lineRule="auto"/>
        <w:rPr>
          <w:rFonts w:ascii="Verdana" w:hAnsi="Verdana"/>
          <w:color w:val="003057"/>
          <w14:ligatures w14:val="none"/>
        </w:rPr>
      </w:pPr>
    </w:p>
    <w:p w:rsidR="000D1F8C" w:rsidRDefault="000D1F8C" w:rsidP="000D1F8C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0D1F8C">
        <w:rPr>
          <w:rFonts w:ascii="Verdana" w:hAnsi="Verdana"/>
          <w:b/>
          <w:bCs/>
          <w:color w:val="003057"/>
          <w14:ligatures w14:val="none"/>
        </w:rPr>
        <w:t xml:space="preserve">Local districts allow density without demolitions of historic houses.   </w:t>
      </w:r>
      <w:r w:rsidR="007C1E5C">
        <w:rPr>
          <w:rFonts w:ascii="Verdana" w:hAnsi="Verdana"/>
          <w:color w:val="003057"/>
          <w14:ligatures w14:val="none"/>
        </w:rPr>
        <w:t>New construction, a</w:t>
      </w:r>
      <w:r w:rsidRPr="000D1F8C">
        <w:rPr>
          <w:rFonts w:ascii="Verdana" w:hAnsi="Verdana"/>
          <w:color w:val="003057"/>
          <w14:ligatures w14:val="none"/>
        </w:rPr>
        <w:t xml:space="preserve">ccessory dwelling units, additions, and new housing units within existing houses, are all ways that a historic district can offer more housing options, without destroying the history, beauty, integrity, and urban tree canopy of these neighborhoods. </w:t>
      </w:r>
    </w:p>
    <w:p w:rsidR="000D1F8C" w:rsidRDefault="000D1F8C" w:rsidP="000D1F8C">
      <w:pPr>
        <w:widowControl w:val="0"/>
        <w:spacing w:after="0" w:line="240" w:lineRule="auto"/>
        <w:rPr>
          <w:rFonts w:ascii="Verdana" w:hAnsi="Verdana"/>
          <w:color w:val="003057"/>
          <w14:ligatures w14:val="none"/>
        </w:rPr>
      </w:pPr>
    </w:p>
    <w:p w:rsidR="006E0BDA" w:rsidRDefault="006E0BDA" w:rsidP="006E0BDA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 w:rsidRPr="000D1F8C">
        <w:rPr>
          <w:rFonts w:ascii="Verdana" w:hAnsi="Verdana"/>
          <w:b/>
          <w:bCs/>
          <w:color w:val="003057"/>
          <w14:ligatures w14:val="none"/>
        </w:rPr>
        <w:t>Local districts encourage quality design.</w:t>
      </w:r>
      <w:r w:rsidRPr="000D1F8C">
        <w:rPr>
          <w:rFonts w:ascii="Verdana" w:hAnsi="Verdana"/>
          <w:color w:val="003057"/>
          <w14:ligatures w14:val="none"/>
        </w:rPr>
        <w:t> </w:t>
      </w:r>
      <w:r>
        <w:rPr>
          <w:rFonts w:ascii="Verdana" w:hAnsi="Verdana"/>
          <w:color w:val="003057"/>
          <w14:ligatures w14:val="none"/>
        </w:rPr>
        <w:t>Good</w:t>
      </w:r>
      <w:r w:rsidRPr="000D1F8C">
        <w:rPr>
          <w:rFonts w:ascii="Verdana" w:hAnsi="Verdana"/>
          <w:color w:val="003057"/>
          <w14:ligatures w14:val="none"/>
        </w:rPr>
        <w:t xml:space="preserve"> design can produce a greater sense of cohesiveness, more innovative use of materials, and greater public appeal―all of which are shown to occur more often within designated districts than non-designated ones. </w:t>
      </w:r>
    </w:p>
    <w:p w:rsidR="006E0BDA" w:rsidRPr="000D1F8C" w:rsidRDefault="006E0BDA" w:rsidP="000D1F8C">
      <w:pPr>
        <w:widowControl w:val="0"/>
        <w:spacing w:after="0" w:line="240" w:lineRule="auto"/>
        <w:rPr>
          <w:rFonts w:ascii="Verdana" w:hAnsi="Verdana"/>
          <w:color w:val="003057"/>
          <w14:ligatures w14:val="none"/>
        </w:rPr>
      </w:pPr>
    </w:p>
    <w:p w:rsidR="000D1F8C" w:rsidRPr="000D1F8C" w:rsidRDefault="00747A82" w:rsidP="000D1F8C">
      <w:pPr>
        <w:pStyle w:val="ListParagraph"/>
        <w:widowControl w:val="0"/>
        <w:numPr>
          <w:ilvl w:val="0"/>
          <w:numId w:val="29"/>
        </w:numPr>
        <w:spacing w:after="0" w:line="240" w:lineRule="auto"/>
        <w:rPr>
          <w:rFonts w:ascii="Verdana" w:hAnsi="Verdana"/>
          <w:color w:val="003057"/>
          <w14:ligatures w14:val="none"/>
        </w:rPr>
      </w:pPr>
      <w:r>
        <w:rPr>
          <w:rFonts w:ascii="Verdana" w:hAnsi="Verdana"/>
          <w:b/>
          <w:bCs/>
          <w:color w:val="003057"/>
          <w14:ligatures w14:val="none"/>
        </w:rPr>
        <w:t xml:space="preserve">Historic Preservation </w:t>
      </w:r>
      <w:r w:rsidR="006E28DD">
        <w:rPr>
          <w:rFonts w:ascii="Verdana" w:hAnsi="Verdana"/>
          <w:b/>
          <w:bCs/>
          <w:color w:val="003057"/>
          <w14:ligatures w14:val="none"/>
        </w:rPr>
        <w:t>is</w:t>
      </w:r>
      <w:r>
        <w:rPr>
          <w:rFonts w:ascii="Verdana" w:hAnsi="Verdana"/>
          <w:b/>
          <w:bCs/>
          <w:color w:val="003057"/>
          <w14:ligatures w14:val="none"/>
        </w:rPr>
        <w:t xml:space="preserve"> a sustainable practice and</w:t>
      </w:r>
      <w:r w:rsidR="000D1F8C" w:rsidRPr="000D1F8C">
        <w:rPr>
          <w:rFonts w:ascii="Verdana" w:hAnsi="Verdana"/>
          <w:b/>
          <w:bCs/>
          <w:color w:val="003057"/>
          <w14:ligatures w14:val="none"/>
        </w:rPr>
        <w:t xml:space="preserve"> </w:t>
      </w:r>
      <w:r w:rsidR="006E28DD">
        <w:rPr>
          <w:rFonts w:ascii="Verdana" w:hAnsi="Verdana"/>
          <w:b/>
          <w:bCs/>
          <w:color w:val="003057"/>
          <w14:ligatures w14:val="none"/>
        </w:rPr>
        <w:t>Portland’s ordinance allows for</w:t>
      </w:r>
      <w:r w:rsidR="000D1F8C" w:rsidRPr="000D1F8C">
        <w:rPr>
          <w:rFonts w:ascii="Verdana" w:hAnsi="Verdana"/>
          <w:b/>
          <w:bCs/>
          <w:color w:val="003057"/>
          <w14:ligatures w14:val="none"/>
        </w:rPr>
        <w:t xml:space="preserve"> the use of renewable energy technologies. </w:t>
      </w:r>
      <w:r w:rsidR="000D1F8C" w:rsidRPr="000D1F8C">
        <w:rPr>
          <w:rFonts w:ascii="Verdana" w:hAnsi="Verdana"/>
          <w:color w:val="003057"/>
          <w14:ligatures w14:val="none"/>
        </w:rPr>
        <w:t xml:space="preserve">Portland’s Historic Preservation Board reviews the use of renewable-energy technologies on a case by case basis and has approved the use of solar panels in local historic districts. </w:t>
      </w:r>
    </w:p>
    <w:p w:rsidR="00A9204E" w:rsidRDefault="00A9204E" w:rsidP="000D1F8C"/>
    <w:sectPr w:rsidR="00A9204E" w:rsidSect="002A4D9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A5" w:rsidRDefault="00F85AA5" w:rsidP="00F85AA5">
      <w:pPr>
        <w:spacing w:after="0" w:line="240" w:lineRule="auto"/>
      </w:pPr>
      <w:r>
        <w:separator/>
      </w:r>
    </w:p>
  </w:endnote>
  <w:endnote w:type="continuationSeparator" w:id="0">
    <w:p w:rsidR="00F85AA5" w:rsidRDefault="00F85AA5" w:rsidP="00F8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DA" w:rsidRDefault="006E0BDA" w:rsidP="006E0BDA">
    <w:pPr>
      <w:pStyle w:val="Footer"/>
      <w:jc w:val="center"/>
      <w:rPr>
        <w:color w:val="003057"/>
      </w:rPr>
    </w:pPr>
    <w:r w:rsidRPr="006E0BDA">
      <w:rPr>
        <w:color w:val="003057"/>
      </w:rPr>
      <w:t xml:space="preserve">For More Information, contact (207) 774-5561 or visit </w:t>
    </w:r>
    <w:hyperlink r:id="rId1" w:history="1">
      <w:r w:rsidRPr="006E0BDA">
        <w:rPr>
          <w:rStyle w:val="Hyperlink"/>
          <w:color w:val="003057"/>
        </w:rPr>
        <w:t>www.portlandlandmarks.org</w:t>
      </w:r>
    </w:hyperlink>
  </w:p>
  <w:p w:rsidR="006E0BDA" w:rsidRPr="006E0BDA" w:rsidRDefault="006E0BDA" w:rsidP="006E0BDA">
    <w:pPr>
      <w:pStyle w:val="Footer"/>
      <w:jc w:val="center"/>
      <w:rPr>
        <w:color w:val="003057"/>
      </w:rPr>
    </w:pPr>
  </w:p>
  <w:p w:rsidR="006E0BDA" w:rsidRPr="006E0BDA" w:rsidRDefault="006E0BDA" w:rsidP="006E0BDA">
    <w:pPr>
      <w:pStyle w:val="Footer"/>
      <w:jc w:val="center"/>
      <w:rPr>
        <w:rFonts w:cstheme="minorHAnsi"/>
        <w:i/>
        <w:sz w:val="18"/>
        <w:szCs w:val="18"/>
      </w:rPr>
    </w:pPr>
    <w:r w:rsidRPr="006E0BDA">
      <w:rPr>
        <w:rFonts w:cstheme="minorHAnsi"/>
        <w:i/>
        <w:color w:val="003473"/>
        <w:sz w:val="18"/>
        <w:szCs w:val="18"/>
      </w:rPr>
      <w:t>Landmarks works to preserve and revitalize greater Portland’s remarkable legacy of historic buildings, neighborhoods, landscapes, and parks.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A5" w:rsidRDefault="00F85AA5" w:rsidP="00F85AA5">
      <w:pPr>
        <w:spacing w:after="0" w:line="240" w:lineRule="auto"/>
      </w:pPr>
      <w:r>
        <w:separator/>
      </w:r>
    </w:p>
  </w:footnote>
  <w:footnote w:type="continuationSeparator" w:id="0">
    <w:p w:rsidR="00F85AA5" w:rsidRDefault="00F85AA5" w:rsidP="00F8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A5" w:rsidRDefault="00F85AA5" w:rsidP="00F85AA5">
    <w:pPr>
      <w:pStyle w:val="Header"/>
      <w:jc w:val="center"/>
    </w:pPr>
    <w:r>
      <w:rPr>
        <w:noProof/>
      </w:rPr>
      <w:drawing>
        <wp:inline distT="0" distB="0" distL="0" distR="0">
          <wp:extent cx="188595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marks log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122" cy="62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5D22DA"/>
    <w:multiLevelType w:val="hybridMultilevel"/>
    <w:tmpl w:val="6B7A8D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964410"/>
    <w:multiLevelType w:val="hybridMultilevel"/>
    <w:tmpl w:val="A39E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41644"/>
    <w:multiLevelType w:val="hybridMultilevel"/>
    <w:tmpl w:val="E1541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DA314C"/>
    <w:multiLevelType w:val="hybridMultilevel"/>
    <w:tmpl w:val="91168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2496463"/>
    <w:multiLevelType w:val="hybridMultilevel"/>
    <w:tmpl w:val="06682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006359A">
      <w:numFmt w:val="bullet"/>
      <w:lvlText w:val=""/>
      <w:lvlJc w:val="left"/>
      <w:pPr>
        <w:ind w:left="1440" w:hanging="360"/>
      </w:pPr>
      <w:rPr>
        <w:rFonts w:ascii="Symbol" w:eastAsia="Times New Roman" w:hAnsi="Symbol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11C63"/>
    <w:multiLevelType w:val="hybridMultilevel"/>
    <w:tmpl w:val="6EB80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7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4"/>
  </w:num>
  <w:num w:numId="21">
    <w:abstractNumId w:val="21"/>
  </w:num>
  <w:num w:numId="22">
    <w:abstractNumId w:val="12"/>
  </w:num>
  <w:num w:numId="23">
    <w:abstractNumId w:val="28"/>
  </w:num>
  <w:num w:numId="24">
    <w:abstractNumId w:val="15"/>
  </w:num>
  <w:num w:numId="25">
    <w:abstractNumId w:val="25"/>
  </w:num>
  <w:num w:numId="26">
    <w:abstractNumId w:val="16"/>
  </w:num>
  <w:num w:numId="27">
    <w:abstractNumId w:val="26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94"/>
    <w:rsid w:val="000D1F8C"/>
    <w:rsid w:val="00231CC5"/>
    <w:rsid w:val="002A4D94"/>
    <w:rsid w:val="0043109E"/>
    <w:rsid w:val="00446335"/>
    <w:rsid w:val="004821CC"/>
    <w:rsid w:val="00645252"/>
    <w:rsid w:val="006D3D74"/>
    <w:rsid w:val="006E0BDA"/>
    <w:rsid w:val="006E28DD"/>
    <w:rsid w:val="00747A82"/>
    <w:rsid w:val="007C1E5C"/>
    <w:rsid w:val="00A2216C"/>
    <w:rsid w:val="00A9204E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3EEFC"/>
  <w15:chartTrackingRefBased/>
  <w15:docId w15:val="{1BB4CB51-D985-41B1-8BD9-411CA64C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kern w:val="0"/>
      <w:sz w:val="32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kern w:val="0"/>
      <w:sz w:val="26"/>
      <w:szCs w:val="26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kern w:val="0"/>
      <w:sz w:val="22"/>
      <w:szCs w:val="22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kern w:val="0"/>
      <w:sz w:val="22"/>
      <w:szCs w:val="22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  <w:szCs w:val="22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2"/>
      <w:szCs w:val="21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2"/>
      <w:szCs w:val="21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0"/>
      <w:sz w:val="22"/>
      <w:szCs w:val="22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kern w:val="0"/>
      <w:sz w:val="22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kern w:val="0"/>
      <w:sz w:val="22"/>
      <w:szCs w:val="18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color w:val="auto"/>
      <w:kern w:val="0"/>
      <w:sz w:val="22"/>
      <w:szCs w:val="18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kern w:val="0"/>
      <w:sz w:val="22"/>
      <w:szCs w:val="22"/>
      <w14:ligatures w14:val="none"/>
      <w14:cntxtAlts w14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16"/>
      <w14:ligatures w14:val="none"/>
      <w14:cntxtAlts w14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line="240" w:lineRule="auto"/>
      <w:ind w:left="360"/>
    </w:pPr>
    <w:rPr>
      <w:rFonts w:asciiTheme="minorHAnsi" w:eastAsiaTheme="minorHAnsi" w:hAnsiTheme="minorHAnsi" w:cstheme="minorBidi"/>
      <w:color w:val="auto"/>
      <w:kern w:val="0"/>
      <w:sz w:val="22"/>
      <w:szCs w:val="1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color w:val="auto"/>
      <w:kern w:val="0"/>
      <w:sz w:val="22"/>
      <w:szCs w:val="16"/>
      <w14:ligatures w14:val="none"/>
      <w14:cntxtAlts w14:val="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14:ligatures w14:val="none"/>
      <w14:cntxtAlts w14:val="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color w:val="auto"/>
      <w:kern w:val="0"/>
      <w:sz w:val="22"/>
      <w14:ligatures w14:val="none"/>
      <w14:cntxtAlts w14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14:ligatures w14:val="none"/>
      <w14:cntxtAlts w14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2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2"/>
      <w:szCs w:val="21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2A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landmar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3C8410-5119-4CC4-A2F0-F7967AE5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114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Larry</dc:creator>
  <cp:keywords/>
  <dc:description/>
  <cp:lastModifiedBy>Julie Larry</cp:lastModifiedBy>
  <cp:revision>3</cp:revision>
  <cp:lastPrinted>2018-02-26T21:14:00Z</cp:lastPrinted>
  <dcterms:created xsi:type="dcterms:W3CDTF">2018-02-26T15:11:00Z</dcterms:created>
  <dcterms:modified xsi:type="dcterms:W3CDTF">2018-02-26T21:32:00Z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